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4D17E8" w:rsidRPr="004D17E8">
        <w:rPr>
          <w:rFonts w:ascii="Times New Roman" w:hAnsi="Times New Roman"/>
          <w:sz w:val="28"/>
          <w:szCs w:val="28"/>
        </w:rPr>
        <w:t>RORS00267/GHZr/TD6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3415AA" w:rsidRPr="003415AA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General Hospital ”</w:t>
      </w:r>
      <w:r w:rsidR="006E441D">
        <w:rPr>
          <w:rFonts w:ascii="Times New Roman" w:hAnsi="Times New Roman"/>
          <w:sz w:val="22"/>
          <w:szCs w:val="22"/>
          <w:lang w:val="en-GB"/>
        </w:rPr>
        <w:t>Đorđe</w:t>
      </w:r>
      <w:r w:rsidRPr="003415AA">
        <w:rPr>
          <w:rFonts w:ascii="Times New Roman" w:hAnsi="Times New Roman"/>
          <w:sz w:val="22"/>
          <w:szCs w:val="22"/>
          <w:lang w:val="en-GB"/>
        </w:rPr>
        <w:t xml:space="preserve"> Joanović” Zrenjanin, </w:t>
      </w:r>
    </w:p>
    <w:p w:rsidR="003415AA" w:rsidRPr="003415AA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Dr Vase Savića 5, 23000 Zrenjanin Serbia</w:t>
      </w:r>
    </w:p>
    <w:p w:rsidR="00AB471B" w:rsidRPr="009B30FB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VAT number: 105539565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4D17E8" w:rsidRPr="004D17E8">
        <w:rPr>
          <w:rFonts w:ascii="Times New Roman" w:hAnsi="Times New Roman"/>
          <w:b/>
          <w:sz w:val="28"/>
          <w:lang w:val="en-GB"/>
        </w:rPr>
        <w:t>ORALERT 2025: Equal access to innovative screening solutions for oral HPV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4035D6" w:rsidRPr="004035D6">
        <w:rPr>
          <w:rFonts w:ascii="Times New Roman" w:hAnsi="Times New Roman"/>
          <w:b/>
          <w:sz w:val="28"/>
          <w:lang w:val="en-GB"/>
        </w:rPr>
        <w:t>Medical Equipment</w:t>
      </w:r>
    </w:p>
    <w:p w:rsidR="004D2FD8" w:rsidRPr="004035D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4D17E8" w:rsidRPr="004D17E8">
        <w:rPr>
          <w:rFonts w:ascii="Times New Roman" w:hAnsi="Times New Roman"/>
          <w:sz w:val="22"/>
          <w:lang w:val="en-GB"/>
        </w:rPr>
        <w:t>RORS00267/GHZr/TD6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17E8" w:rsidRDefault="004D17E8" w:rsidP="004D17E8">
      <w:pPr>
        <w:ind w:left="567"/>
        <w:rPr>
          <w:rFonts w:ascii="Times New Roman" w:hAnsi="Times New Roman"/>
          <w:sz w:val="22"/>
        </w:rPr>
      </w:pPr>
      <w:r w:rsidRPr="00993BBD">
        <w:rPr>
          <w:rFonts w:ascii="Times New Roman" w:hAnsi="Times New Roman"/>
          <w:sz w:val="22"/>
        </w:rPr>
        <w:t>Medical Equipment</w:t>
      </w:r>
      <w:r>
        <w:rPr>
          <w:rFonts w:ascii="Times New Roman" w:hAnsi="Times New Roman"/>
          <w:sz w:val="22"/>
        </w:rPr>
        <w:t xml:space="preserve"> 1set consisting of: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</w:rPr>
        <w:t xml:space="preserve">Surgical tripod- </w:t>
      </w:r>
      <w:r w:rsidRPr="00D55492">
        <w:rPr>
          <w:rFonts w:ascii="Times New Roman" w:hAnsi="Times New Roman"/>
          <w:sz w:val="22"/>
          <w:lang w:val="en-GB"/>
        </w:rPr>
        <w:t xml:space="preserve">ceiling supply unit </w:t>
      </w:r>
      <w:r w:rsidRPr="00D55492">
        <w:rPr>
          <w:rFonts w:ascii="Times New Roman" w:hAnsi="Times New Roman"/>
          <w:sz w:val="22"/>
        </w:rPr>
        <w:t>Quantity: 2 units</w:t>
      </w:r>
    </w:p>
    <w:p w:rsidR="004D17E8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</w:rPr>
        <w:t>Operating table for ENT surgery</w:t>
      </w:r>
      <w:r>
        <w:rPr>
          <w:rFonts w:ascii="Times New Roman" w:hAnsi="Times New Roman"/>
          <w:sz w:val="22"/>
        </w:rPr>
        <w:t xml:space="preserve"> </w:t>
      </w:r>
      <w:r w:rsidRPr="00D55492">
        <w:rPr>
          <w:rFonts w:ascii="Times New Roman" w:hAnsi="Times New Roman"/>
          <w:sz w:val="22"/>
        </w:rPr>
        <w:t>Quantity: 1 unit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Operating Lamp for surgery Quantity: 1 unit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ENT Workastation Quantity: 1 unit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Microscope for pathology with the digital camera</w:t>
      </w:r>
      <w:r w:rsidRPr="00D55492">
        <w:rPr>
          <w:rFonts w:ascii="Times New Roman" w:hAnsi="Times New Roman"/>
          <w:sz w:val="22"/>
        </w:rPr>
        <w:t xml:space="preserve"> </w:t>
      </w:r>
      <w:r w:rsidRPr="00D55492">
        <w:rPr>
          <w:rFonts w:ascii="Times New Roman" w:hAnsi="Times New Roman"/>
          <w:sz w:val="22"/>
          <w:lang w:val="en-GB"/>
        </w:rPr>
        <w:t>Quantity: 1 unit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Set of Instruments for ENT Quantity: 1 set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Anaesthesiology tripod- ceiling supply unit Quantity: 1 unit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Surgical Sunction pump Quantity: 1 unit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Electrocautery unit  Quantity: 1 unit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Surgical examination lamps-mobile Quantity: 2 units</w:t>
      </w:r>
    </w:p>
    <w:p w:rsidR="004D17E8" w:rsidRPr="00D55492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Anaesthesia device Quantity: 1 unit</w:t>
      </w:r>
    </w:p>
    <w:p w:rsidR="00E66170" w:rsidRPr="00E66170" w:rsidRDefault="004D17E8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D55492">
        <w:rPr>
          <w:rFonts w:ascii="Times New Roman" w:hAnsi="Times New Roman"/>
          <w:sz w:val="22"/>
          <w:lang w:val="en-GB"/>
        </w:rPr>
        <w:t>Rhino-Laryngo Vid-scope Quantity: 1 unit</w:t>
      </w:r>
    </w:p>
    <w:p w:rsidR="00E66170" w:rsidRDefault="00E66170" w:rsidP="00E66170">
      <w:pPr>
        <w:spacing w:before="0" w:after="0"/>
        <w:ind w:left="567"/>
        <w:rPr>
          <w:rFonts w:ascii="Times New Roman" w:hAnsi="Times New Roman"/>
          <w:sz w:val="22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3415AA" w:rsidRPr="003415AA">
        <w:rPr>
          <w:rFonts w:ascii="Times New Roman" w:hAnsi="Times New Roman"/>
          <w:sz w:val="22"/>
          <w:lang w:val="en-GB"/>
        </w:rPr>
        <w:t>General Hospital ”Djordje Joanović” Zrenjanin, Dr Vase Savića 5, 23000 Zrenjanin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415AA">
        <w:rPr>
          <w:rFonts w:ascii="Times New Roman" w:hAnsi="Times New Roman"/>
          <w:sz w:val="22"/>
          <w:lang w:val="en-GB"/>
        </w:rPr>
        <w:t>120</w:t>
      </w:r>
      <w:r w:rsidR="004035D6">
        <w:rPr>
          <w:rFonts w:ascii="Times New Roman" w:hAnsi="Times New Roman"/>
          <w:sz w:val="22"/>
          <w:lang w:val="en-GB"/>
        </w:rPr>
        <w:t xml:space="preserve"> days</w:t>
      </w:r>
      <w:r w:rsidR="00E7036F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69C" w:rsidRDefault="008C269C">
      <w:r>
        <w:separator/>
      </w:r>
    </w:p>
    <w:p w:rsidR="008C269C" w:rsidRDefault="008C269C"/>
  </w:endnote>
  <w:endnote w:type="continuationSeparator" w:id="1">
    <w:p w:rsidR="008C269C" w:rsidRDefault="008C269C">
      <w:r>
        <w:continuationSeparator/>
      </w:r>
    </w:p>
    <w:p w:rsidR="008C269C" w:rsidRDefault="008C269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DC1B6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C1B6E" w:rsidRPr="0076436E">
      <w:rPr>
        <w:rFonts w:ascii="Times New Roman" w:hAnsi="Times New Roman"/>
        <w:sz w:val="18"/>
        <w:szCs w:val="18"/>
      </w:rPr>
      <w:fldChar w:fldCharType="separate"/>
    </w:r>
    <w:r w:rsidR="004E5868">
      <w:rPr>
        <w:rFonts w:ascii="Times New Roman" w:hAnsi="Times New Roman"/>
        <w:noProof/>
        <w:sz w:val="18"/>
        <w:szCs w:val="18"/>
        <w:lang w:val="en-GB"/>
      </w:rPr>
      <w:t>1</w:t>
    </w:r>
    <w:r w:rsidR="00DC1B6E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DC1B6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C1B6E" w:rsidRPr="0076436E">
      <w:rPr>
        <w:rFonts w:ascii="Times New Roman" w:hAnsi="Times New Roman"/>
        <w:sz w:val="18"/>
        <w:szCs w:val="18"/>
      </w:rPr>
      <w:fldChar w:fldCharType="separate"/>
    </w:r>
    <w:r w:rsidR="004E5868">
      <w:rPr>
        <w:rFonts w:ascii="Times New Roman" w:hAnsi="Times New Roman"/>
        <w:noProof/>
        <w:sz w:val="18"/>
        <w:szCs w:val="18"/>
        <w:lang w:val="en-GB"/>
      </w:rPr>
      <w:t>4</w:t>
    </w:r>
    <w:r w:rsidR="00DC1B6E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DC1B6E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DC1B6E">
      <w:rPr>
        <w:sz w:val="16"/>
      </w:rPr>
      <w:fldChar w:fldCharType="begin"/>
    </w:r>
    <w:r>
      <w:rPr>
        <w:sz w:val="16"/>
      </w:rPr>
      <w:instrText xml:space="preserve"> PAGE </w:instrText>
    </w:r>
    <w:r w:rsidR="00DC1B6E">
      <w:rPr>
        <w:sz w:val="16"/>
      </w:rPr>
      <w:fldChar w:fldCharType="separate"/>
    </w:r>
    <w:r>
      <w:rPr>
        <w:noProof/>
        <w:sz w:val="16"/>
      </w:rPr>
      <w:t>59</w:t>
    </w:r>
    <w:r w:rsidR="00DC1B6E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69C" w:rsidRDefault="008C269C" w:rsidP="008056C4">
      <w:pPr>
        <w:spacing w:before="0" w:after="0"/>
      </w:pPr>
      <w:r>
        <w:separator/>
      </w:r>
    </w:p>
  </w:footnote>
  <w:footnote w:type="continuationSeparator" w:id="1">
    <w:p w:rsidR="008C269C" w:rsidRDefault="008C269C">
      <w:r>
        <w:continuationSeparator/>
      </w:r>
    </w:p>
    <w:p w:rsidR="008C269C" w:rsidRDefault="008C269C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2093"/>
    <w:multiLevelType w:val="hybridMultilevel"/>
    <w:tmpl w:val="ABE0369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09E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15AA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35D6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45CC"/>
    <w:rsid w:val="004A7ED9"/>
    <w:rsid w:val="004B0424"/>
    <w:rsid w:val="004B740F"/>
    <w:rsid w:val="004C35B5"/>
    <w:rsid w:val="004D17E8"/>
    <w:rsid w:val="004D2FD8"/>
    <w:rsid w:val="004E14D4"/>
    <w:rsid w:val="004E5868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441D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772"/>
    <w:rsid w:val="00792A1B"/>
    <w:rsid w:val="007A0D58"/>
    <w:rsid w:val="007A4C4D"/>
    <w:rsid w:val="007A7E2A"/>
    <w:rsid w:val="007B29D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71DE3"/>
    <w:rsid w:val="008808CB"/>
    <w:rsid w:val="00883B63"/>
    <w:rsid w:val="008859E6"/>
    <w:rsid w:val="008A077E"/>
    <w:rsid w:val="008A39B7"/>
    <w:rsid w:val="008B1768"/>
    <w:rsid w:val="008B465B"/>
    <w:rsid w:val="008C1101"/>
    <w:rsid w:val="008C26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88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143E8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759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1B6E"/>
    <w:rsid w:val="00DC45BC"/>
    <w:rsid w:val="00DC50E2"/>
    <w:rsid w:val="00DC54A0"/>
    <w:rsid w:val="00DC6C9C"/>
    <w:rsid w:val="00DD0624"/>
    <w:rsid w:val="00DF687C"/>
    <w:rsid w:val="00DF70E2"/>
    <w:rsid w:val="00DF7327"/>
    <w:rsid w:val="00E01BC8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170"/>
    <w:rsid w:val="00E665B9"/>
    <w:rsid w:val="00E7036F"/>
    <w:rsid w:val="00E730A5"/>
    <w:rsid w:val="00E77C3D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2D9B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B7366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594</Words>
  <Characters>3391</Characters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2025-06-03T12:45:00Z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